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5C" w:rsidRPr="00820E5C" w:rsidRDefault="00820E5C" w:rsidP="0082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E5C">
        <w:rPr>
          <w:rFonts w:ascii="Arial" w:eastAsia="Times New Roman" w:hAnsi="Arial" w:cs="Arial"/>
          <w:color w:val="313235"/>
          <w:sz w:val="20"/>
          <w:szCs w:val="20"/>
        </w:rPr>
        <w:br/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02" w:after="201" w:line="240" w:lineRule="auto"/>
        <w:outlineLvl w:val="2"/>
        <w:rPr>
          <w:rFonts w:ascii="Arial" w:eastAsia="Times New Roman" w:hAnsi="Arial" w:cs="Arial"/>
          <w:color w:val="313235"/>
          <w:sz w:val="34"/>
          <w:szCs w:val="34"/>
        </w:rPr>
      </w:pPr>
      <w:proofErr w:type="spellStart"/>
      <w:r w:rsidRPr="00820E5C">
        <w:rPr>
          <w:rFonts w:ascii="Arial" w:eastAsia="Times New Roman" w:hAnsi="Arial" w:cs="Arial"/>
          <w:color w:val="313235"/>
          <w:sz w:val="34"/>
          <w:szCs w:val="34"/>
        </w:rPr>
        <w:t>Gonadotropin</w:t>
      </w:r>
      <w:proofErr w:type="spellEnd"/>
      <w:r w:rsidRPr="00820E5C">
        <w:rPr>
          <w:rFonts w:ascii="Arial" w:eastAsia="Times New Roman" w:hAnsi="Arial" w:cs="Arial"/>
          <w:color w:val="313235"/>
          <w:sz w:val="34"/>
          <w:szCs w:val="34"/>
        </w:rPr>
        <w:t xml:space="preserve"> Salıverici Hormon (</w:t>
      </w:r>
      <w:proofErr w:type="spellStart"/>
      <w:r w:rsidRPr="00820E5C">
        <w:rPr>
          <w:rFonts w:ascii="Arial" w:eastAsia="Times New Roman" w:hAnsi="Arial" w:cs="Arial"/>
          <w:color w:val="313235"/>
          <w:sz w:val="34"/>
          <w:szCs w:val="34"/>
        </w:rPr>
        <w:t>GnRH</w:t>
      </w:r>
      <w:proofErr w:type="spellEnd"/>
      <w:r w:rsidRPr="00820E5C">
        <w:rPr>
          <w:rFonts w:ascii="Arial" w:eastAsia="Times New Roman" w:hAnsi="Arial" w:cs="Arial"/>
          <w:color w:val="313235"/>
          <w:sz w:val="34"/>
          <w:szCs w:val="34"/>
        </w:rPr>
        <w:t xml:space="preserve">) </w:t>
      </w:r>
      <w:proofErr w:type="spellStart"/>
      <w:r w:rsidRPr="00820E5C">
        <w:rPr>
          <w:rFonts w:ascii="Arial" w:eastAsia="Times New Roman" w:hAnsi="Arial" w:cs="Arial"/>
          <w:color w:val="313235"/>
          <w:sz w:val="34"/>
          <w:szCs w:val="34"/>
        </w:rPr>
        <w:t>Analogları</w:t>
      </w:r>
      <w:proofErr w:type="spellEnd"/>
      <w:r w:rsidRPr="00820E5C">
        <w:rPr>
          <w:rFonts w:ascii="Arial" w:eastAsia="Times New Roman" w:hAnsi="Arial" w:cs="Arial"/>
          <w:color w:val="313235"/>
          <w:sz w:val="34"/>
          <w:szCs w:val="34"/>
        </w:rPr>
        <w:t>:</w:t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Decapeptyl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Depot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Enjeksiyonluk Süspansiyon için Toz</w:t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Decapeptyl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Enjektabl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Solüsyon</w:t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Gonapeptyl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Enjektabl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Solüsyon</w:t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Lucrın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Depot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Kullanıma Hazır Toz ve Çözücü İçeren Çift Bölmeli Enjektör</w:t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Lucrın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5 Mg/Ml Enjeksiyonluk Çözelti İçeren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Flakon</w:t>
      </w:r>
      <w:proofErr w:type="spellEnd"/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Elıgard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Enj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. Çöz. İçin S.C. Toz İçeren Şırınga ve Çöz. İçeren Şırınga </w:t>
      </w:r>
      <w:proofErr w:type="gram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22.5</w:t>
      </w:r>
      <w:proofErr w:type="gram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Mg 1 Enjektör</w:t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Elıgard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Enj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. Çöz. İçin S.C. Toz İçeren Şırınga ve Çöz. İçeren Şırınga </w:t>
      </w:r>
      <w:proofErr w:type="gram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7.5</w:t>
      </w:r>
      <w:proofErr w:type="gram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Mg 1 Enjektör</w:t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Elıgard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Enj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. Çöz. İçin S.C. Toz İçeren Şırınga ve Çöz. İçeren Şırınga 45 Mg 1 Enjektör</w:t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Zoladex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Depot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Subkutan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Implant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İçeren Kullanıma Hazır Enjektör</w:t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Zoladex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La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Depot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Subkutan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Implant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İçeren Kullanıma Hazır Enjektör</w:t>
      </w:r>
    </w:p>
    <w:p w:rsidR="00820E5C" w:rsidRPr="00820E5C" w:rsidRDefault="00820E5C" w:rsidP="0082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E5C">
        <w:rPr>
          <w:rFonts w:ascii="Arial" w:eastAsia="Times New Roman" w:hAnsi="Arial" w:cs="Arial"/>
          <w:color w:val="313235"/>
          <w:sz w:val="20"/>
          <w:szCs w:val="20"/>
        </w:rPr>
        <w:br/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02" w:after="201" w:line="240" w:lineRule="auto"/>
        <w:outlineLvl w:val="2"/>
        <w:rPr>
          <w:rFonts w:ascii="Arial" w:eastAsia="Times New Roman" w:hAnsi="Arial" w:cs="Arial"/>
          <w:color w:val="313235"/>
          <w:sz w:val="34"/>
          <w:szCs w:val="34"/>
        </w:rPr>
      </w:pPr>
      <w:r w:rsidRPr="00820E5C">
        <w:rPr>
          <w:rFonts w:ascii="Arial" w:eastAsia="Times New Roman" w:hAnsi="Arial" w:cs="Arial"/>
          <w:color w:val="313235"/>
          <w:sz w:val="34"/>
          <w:szCs w:val="34"/>
        </w:rPr>
        <w:t>Testosteron İçeren Müstahzarlar:</w:t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Tesroject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I.M. Enjeksiyonluk Çözelti</w:t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Testogel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Transdermal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Jel İçeren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Saşe</w:t>
      </w:r>
      <w:proofErr w:type="spellEnd"/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Nebıdo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Im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Enjeksiyonluk Çözelti İçeren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Flakon</w:t>
      </w:r>
      <w:proofErr w:type="spellEnd"/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Sustanon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Enjeksiyonluk Çözelti</w:t>
      </w:r>
    </w:p>
    <w:p w:rsidR="00820E5C" w:rsidRPr="00820E5C" w:rsidRDefault="00820E5C" w:rsidP="0082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E5C">
        <w:rPr>
          <w:rFonts w:ascii="Arial" w:eastAsia="Times New Roman" w:hAnsi="Arial" w:cs="Arial"/>
          <w:color w:val="313235"/>
          <w:sz w:val="20"/>
          <w:szCs w:val="20"/>
        </w:rPr>
        <w:br/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02" w:after="201" w:line="240" w:lineRule="auto"/>
        <w:outlineLvl w:val="2"/>
        <w:rPr>
          <w:rFonts w:ascii="Arial" w:eastAsia="Times New Roman" w:hAnsi="Arial" w:cs="Arial"/>
          <w:color w:val="313235"/>
          <w:sz w:val="34"/>
          <w:szCs w:val="34"/>
        </w:rPr>
      </w:pPr>
      <w:r w:rsidRPr="00820E5C">
        <w:rPr>
          <w:rFonts w:ascii="Arial" w:eastAsia="Times New Roman" w:hAnsi="Arial" w:cs="Arial"/>
          <w:color w:val="313235"/>
          <w:sz w:val="34"/>
          <w:szCs w:val="34"/>
        </w:rPr>
        <w:t xml:space="preserve">Tek Başına 2 mg Üstünde </w:t>
      </w:r>
      <w:proofErr w:type="spellStart"/>
      <w:r w:rsidRPr="00820E5C">
        <w:rPr>
          <w:rFonts w:ascii="Arial" w:eastAsia="Times New Roman" w:hAnsi="Arial" w:cs="Arial"/>
          <w:color w:val="313235"/>
          <w:sz w:val="34"/>
          <w:szCs w:val="34"/>
        </w:rPr>
        <w:t>Estrojen</w:t>
      </w:r>
      <w:proofErr w:type="spellEnd"/>
      <w:r w:rsidRPr="00820E5C">
        <w:rPr>
          <w:rFonts w:ascii="Arial" w:eastAsia="Times New Roman" w:hAnsi="Arial" w:cs="Arial"/>
          <w:color w:val="313235"/>
          <w:sz w:val="34"/>
          <w:szCs w:val="34"/>
        </w:rPr>
        <w:t xml:space="preserve"> İçeren Preparatlar:</w:t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Clımara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Transdermal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Flaster</w:t>
      </w:r>
      <w:proofErr w:type="spellEnd"/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Clımara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Forte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Transdermal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</w:t>
      </w: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Flaster</w:t>
      </w:r>
      <w:proofErr w:type="spellEnd"/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Estrofem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Film Kaplı Tablet</w:t>
      </w:r>
    </w:p>
    <w:p w:rsidR="00820E5C" w:rsidRPr="00820E5C" w:rsidRDefault="00820E5C" w:rsidP="00820E5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01" w:line="240" w:lineRule="auto"/>
        <w:rPr>
          <w:rFonts w:ascii="Arial" w:eastAsia="Times New Roman" w:hAnsi="Arial" w:cs="Arial"/>
          <w:color w:val="313235"/>
          <w:spacing w:val="2"/>
          <w:sz w:val="20"/>
          <w:szCs w:val="20"/>
        </w:rPr>
      </w:pPr>
      <w:proofErr w:type="spellStart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>Akrofolline</w:t>
      </w:r>
      <w:proofErr w:type="spellEnd"/>
      <w:r w:rsidRPr="00820E5C">
        <w:rPr>
          <w:rFonts w:ascii="Arial" w:eastAsia="Times New Roman" w:hAnsi="Arial" w:cs="Arial"/>
          <w:color w:val="313235"/>
          <w:spacing w:val="2"/>
          <w:sz w:val="20"/>
          <w:szCs w:val="20"/>
        </w:rPr>
        <w:t xml:space="preserve"> Ampul (üretilmiyor)</w:t>
      </w:r>
    </w:p>
    <w:p w:rsidR="00B929F9" w:rsidRDefault="00B929F9"/>
    <w:sectPr w:rsidR="00B92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820E5C"/>
    <w:rsid w:val="00820E5C"/>
    <w:rsid w:val="00B9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20E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20E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2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2025-01-06T10:35:00Z</dcterms:created>
  <dcterms:modified xsi:type="dcterms:W3CDTF">2025-01-06T10:36:00Z</dcterms:modified>
</cp:coreProperties>
</file>